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A1" w:rsidRPr="00CA74E9" w:rsidRDefault="009C67A1" w:rsidP="004B7561">
      <w:pPr>
        <w:jc w:val="center"/>
        <w:rPr>
          <w:rFonts w:ascii="Times New Roman" w:hAnsi="Times New Roman"/>
          <w:sz w:val="28"/>
          <w:szCs w:val="28"/>
        </w:rPr>
      </w:pPr>
      <w:r w:rsidRPr="00CA74E9">
        <w:rPr>
          <w:rFonts w:ascii="Times New Roman" w:hAnsi="Times New Roman"/>
          <w:sz w:val="28"/>
          <w:szCs w:val="28"/>
        </w:rPr>
        <w:t xml:space="preserve">Выписка из </w:t>
      </w:r>
      <w:r w:rsidR="00CA74E9" w:rsidRPr="00CA74E9">
        <w:rPr>
          <w:rFonts w:ascii="Times New Roman" w:hAnsi="Times New Roman"/>
          <w:sz w:val="28"/>
          <w:szCs w:val="28"/>
        </w:rPr>
        <w:t>протокола</w:t>
      </w:r>
    </w:p>
    <w:p w:rsidR="00B259CC" w:rsidRDefault="004B7561" w:rsidP="004B756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7561">
        <w:rPr>
          <w:rFonts w:ascii="Times New Roman" w:hAnsi="Times New Roman"/>
          <w:sz w:val="28"/>
          <w:szCs w:val="28"/>
        </w:rPr>
        <w:t>заседания экспертной комиссии по проведению конкурсного отбора площадок для апробации управленческих моделей взаимодействия опорного университета с регионом (власть, бизнес, гражданское общество, население)</w:t>
      </w:r>
    </w:p>
    <w:p w:rsidR="004B7561" w:rsidRDefault="004B7561" w:rsidP="004B7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октября 2017 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№415/01/ИА</w:t>
      </w:r>
    </w:p>
    <w:p w:rsidR="004B7561" w:rsidRDefault="004B7561" w:rsidP="004B75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561" w:rsidRDefault="004B7561" w:rsidP="004B75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 конкурсной комиссии (Приказ НФПК от 5 октября 2017 г. №9-Р) рассмотрено 32 (тридцать две) поданные заявки от </w:t>
      </w:r>
      <w:r w:rsidRPr="004B7561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4B756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4B7561">
        <w:rPr>
          <w:rFonts w:ascii="Times New Roman" w:hAnsi="Times New Roman"/>
          <w:sz w:val="28"/>
          <w:szCs w:val="28"/>
        </w:rPr>
        <w:t xml:space="preserve"> высшего образования – опорны</w:t>
      </w:r>
      <w:r>
        <w:rPr>
          <w:rFonts w:ascii="Times New Roman" w:hAnsi="Times New Roman"/>
          <w:sz w:val="28"/>
          <w:szCs w:val="28"/>
        </w:rPr>
        <w:t>х</w:t>
      </w:r>
      <w:r w:rsidRPr="004B7561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ов</w:t>
      </w:r>
      <w:r w:rsidRPr="004B7561">
        <w:rPr>
          <w:rFonts w:ascii="Times New Roman" w:hAnsi="Times New Roman"/>
          <w:sz w:val="28"/>
          <w:szCs w:val="28"/>
        </w:rPr>
        <w:t xml:space="preserve"> (победители двух волн соответствующего конкурсного отбора)</w:t>
      </w:r>
      <w:r>
        <w:rPr>
          <w:rFonts w:ascii="Times New Roman" w:hAnsi="Times New Roman"/>
          <w:sz w:val="28"/>
          <w:szCs w:val="28"/>
        </w:rPr>
        <w:t>: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Алтайский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Белгородский государственный технологический университет имени В.Г. Шухова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Владимирский государственный университет имени А.Г. и Н.Г. Столетовых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Воронежский государственный технический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Вятский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Донской государственный технический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Калмыцкий государственный университет имени Б.Б.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4B7561">
        <w:rPr>
          <w:rFonts w:ascii="Times New Roman" w:hAnsi="Times New Roman"/>
          <w:sz w:val="28"/>
          <w:szCs w:val="28"/>
        </w:rPr>
        <w:t>Городовикова</w:t>
      </w:r>
      <w:proofErr w:type="spellEnd"/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Кемеровский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Костромской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Магнитогорский государственный технический университет имени Г.И. Носова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Марийский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Мурманский арктический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Нижегородский государственный технический университет имени Р.Е. Алексеева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Новгородский государственный университет имени Ярослава Мудрого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Новосибирский государственный технический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Омский государственный технический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Орловский государственный университет имени И.С. Тургенева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Петрозаводский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Псковский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Самарский государственный технический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lastRenderedPageBreak/>
        <w:t>Саратовский государственный технический университет имени Ю.А. Гагарина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 xml:space="preserve">Сибирский государственный университет науки и технологий имени академика М.Ф. </w:t>
      </w:r>
      <w:proofErr w:type="spellStart"/>
      <w:r w:rsidRPr="004B7561">
        <w:rPr>
          <w:rFonts w:ascii="Times New Roman" w:hAnsi="Times New Roman"/>
          <w:sz w:val="28"/>
          <w:szCs w:val="28"/>
        </w:rPr>
        <w:t>Решетнева</w:t>
      </w:r>
      <w:proofErr w:type="spellEnd"/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Сибирский государственный медицинский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Сочинский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Сыктывкарский государственный университет имени Питирима Сорокина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Тольяттинский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Тульский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Тюменский индустриальный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Ульяновский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Уфимский государственный нефтяной технический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Череповецкий государственный университет</w:t>
      </w:r>
    </w:p>
    <w:p w:rsidR="004B7561" w:rsidRPr="004B7561" w:rsidRDefault="004B7561" w:rsidP="004B75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>Ярославский госуниверситет имени П.Г. Демидова</w:t>
      </w:r>
    </w:p>
    <w:p w:rsidR="004B7561" w:rsidRDefault="004B7561" w:rsidP="004B75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561">
        <w:rPr>
          <w:rFonts w:ascii="Times New Roman" w:hAnsi="Times New Roman"/>
          <w:sz w:val="28"/>
          <w:szCs w:val="28"/>
        </w:rPr>
        <w:t xml:space="preserve">Оценка заявок участников конкурсного отбора </w:t>
      </w:r>
      <w:r>
        <w:rPr>
          <w:rFonts w:ascii="Times New Roman" w:hAnsi="Times New Roman"/>
          <w:sz w:val="28"/>
          <w:szCs w:val="28"/>
        </w:rPr>
        <w:t>проводилась</w:t>
      </w:r>
      <w:r w:rsidRPr="004B7561">
        <w:rPr>
          <w:rFonts w:ascii="Times New Roman" w:hAnsi="Times New Roman"/>
          <w:sz w:val="28"/>
          <w:szCs w:val="28"/>
        </w:rPr>
        <w:t xml:space="preserve"> экспертной комиссией посредством анализа заполненных экспертных листов по каждой </w:t>
      </w:r>
      <w:r>
        <w:rPr>
          <w:rFonts w:ascii="Times New Roman" w:hAnsi="Times New Roman"/>
          <w:sz w:val="28"/>
          <w:szCs w:val="28"/>
        </w:rPr>
        <w:t xml:space="preserve">поданной </w:t>
      </w:r>
      <w:r w:rsidRPr="004B7561">
        <w:rPr>
          <w:rFonts w:ascii="Times New Roman" w:hAnsi="Times New Roman"/>
          <w:sz w:val="28"/>
          <w:szCs w:val="28"/>
        </w:rPr>
        <w:t>заявке</w:t>
      </w:r>
      <w:r>
        <w:rPr>
          <w:rFonts w:ascii="Times New Roman" w:hAnsi="Times New Roman"/>
          <w:sz w:val="28"/>
          <w:szCs w:val="28"/>
        </w:rPr>
        <w:t>. По результатам рассмотрения экспертных карт определен рейтинг баллов по поданным заявкам, которые распределены на четыре группы: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B7561" w:rsidTr="004B7561">
        <w:tc>
          <w:tcPr>
            <w:tcW w:w="2943" w:type="dxa"/>
          </w:tcPr>
          <w:p w:rsidR="004B7561" w:rsidRDefault="004B7561" w:rsidP="004B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28" w:type="dxa"/>
          </w:tcPr>
          <w:p w:rsidR="004B7561" w:rsidRDefault="004B7561" w:rsidP="004B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Заявки, получившие от 100 до 81 балла</w:t>
            </w:r>
          </w:p>
        </w:tc>
      </w:tr>
      <w:tr w:rsidR="004B7561" w:rsidTr="004B7561">
        <w:tc>
          <w:tcPr>
            <w:tcW w:w="2943" w:type="dxa"/>
          </w:tcPr>
          <w:p w:rsidR="004B7561" w:rsidRDefault="004B7561" w:rsidP="004B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6628" w:type="dxa"/>
          </w:tcPr>
          <w:p w:rsidR="004B7561" w:rsidRDefault="004B7561" w:rsidP="004B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Заявки, получившие от 80 до 71 балла</w:t>
            </w:r>
          </w:p>
        </w:tc>
      </w:tr>
      <w:tr w:rsidR="004B7561" w:rsidTr="004B7561">
        <w:tc>
          <w:tcPr>
            <w:tcW w:w="2943" w:type="dxa"/>
          </w:tcPr>
          <w:p w:rsidR="004B7561" w:rsidRDefault="004B7561" w:rsidP="004B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628" w:type="dxa"/>
          </w:tcPr>
          <w:p w:rsidR="004B7561" w:rsidRDefault="004B7561" w:rsidP="004B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Заявки, получившие от 70 до 61 балла </w:t>
            </w:r>
          </w:p>
        </w:tc>
      </w:tr>
      <w:tr w:rsidR="004B7561" w:rsidTr="004B7561">
        <w:tc>
          <w:tcPr>
            <w:tcW w:w="2943" w:type="dxa"/>
          </w:tcPr>
          <w:p w:rsidR="004B7561" w:rsidRDefault="004B7561" w:rsidP="004B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Г</w:t>
            </w:r>
          </w:p>
        </w:tc>
        <w:tc>
          <w:tcPr>
            <w:tcW w:w="6628" w:type="dxa"/>
          </w:tcPr>
          <w:p w:rsidR="004B7561" w:rsidRDefault="004B7561" w:rsidP="004B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Заявки, получившие от 60 и ниже баллов </w:t>
            </w:r>
          </w:p>
        </w:tc>
      </w:tr>
    </w:tbl>
    <w:p w:rsidR="004B7561" w:rsidRDefault="004B7561" w:rsidP="004B75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561" w:rsidRDefault="004B7561" w:rsidP="004B75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4B7561">
        <w:rPr>
          <w:rFonts w:ascii="Times New Roman" w:hAnsi="Times New Roman"/>
          <w:sz w:val="28"/>
          <w:szCs w:val="28"/>
        </w:rPr>
        <w:t>очного голосования большинством голосов по рейтингу баллов отобраны победители конкурсного отбора.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4B7561" w:rsidRPr="004B7561" w:rsidTr="004B7561">
        <w:tc>
          <w:tcPr>
            <w:tcW w:w="6345" w:type="dxa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1">
              <w:rPr>
                <w:rFonts w:ascii="Times New Roman" w:hAnsi="Times New Roman"/>
                <w:b/>
                <w:sz w:val="28"/>
                <w:szCs w:val="28"/>
              </w:rPr>
              <w:t>Фирменное наименование победителя конкурсного отбора</w:t>
            </w:r>
          </w:p>
        </w:tc>
        <w:tc>
          <w:tcPr>
            <w:tcW w:w="3226" w:type="dxa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1">
              <w:rPr>
                <w:rFonts w:ascii="Times New Roman" w:hAnsi="Times New Roman"/>
                <w:b/>
                <w:sz w:val="28"/>
                <w:szCs w:val="28"/>
              </w:rPr>
              <w:t>Рейтинг баллов заявки победителя</w:t>
            </w:r>
          </w:p>
        </w:tc>
      </w:tr>
      <w:tr w:rsidR="004B7561" w:rsidTr="00570394">
        <w:tc>
          <w:tcPr>
            <w:tcW w:w="9571" w:type="dxa"/>
            <w:gridSpan w:val="2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B7561" w:rsidTr="004B7561">
        <w:tc>
          <w:tcPr>
            <w:tcW w:w="6345" w:type="dxa"/>
          </w:tcPr>
          <w:p w:rsidR="004B7561" w:rsidRPr="00DB1FDA" w:rsidRDefault="004B7561" w:rsidP="00EB2E1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DA">
              <w:rPr>
                <w:rFonts w:ascii="Times New Roman" w:hAnsi="Times New Roman"/>
                <w:sz w:val="28"/>
                <w:szCs w:val="28"/>
              </w:rPr>
              <w:t>Вятский государственный университет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84,32</w:t>
            </w:r>
          </w:p>
        </w:tc>
      </w:tr>
      <w:tr w:rsidR="004B7561" w:rsidTr="004B7561">
        <w:tc>
          <w:tcPr>
            <w:tcW w:w="6345" w:type="dxa"/>
          </w:tcPr>
          <w:p w:rsidR="004B7561" w:rsidRPr="00DB1FDA" w:rsidRDefault="004B7561" w:rsidP="00EB2E1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DA">
              <w:rPr>
                <w:rFonts w:ascii="Times New Roman" w:hAnsi="Times New Roman"/>
                <w:sz w:val="28"/>
                <w:szCs w:val="28"/>
              </w:rPr>
              <w:t>Новосибирский государственный технический университет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80,24</w:t>
            </w:r>
          </w:p>
        </w:tc>
      </w:tr>
      <w:tr w:rsidR="004B7561" w:rsidTr="004B7561">
        <w:tc>
          <w:tcPr>
            <w:tcW w:w="6345" w:type="dxa"/>
          </w:tcPr>
          <w:p w:rsidR="004B7561" w:rsidRPr="00DB1FDA" w:rsidRDefault="004B7561" w:rsidP="00EB2E1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DA">
              <w:rPr>
                <w:rFonts w:ascii="Times New Roman" w:hAnsi="Times New Roman"/>
                <w:sz w:val="28"/>
                <w:szCs w:val="28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80,14</w:t>
            </w:r>
          </w:p>
        </w:tc>
      </w:tr>
      <w:tr w:rsidR="004B7561" w:rsidTr="00B340C3">
        <w:tc>
          <w:tcPr>
            <w:tcW w:w="9571" w:type="dxa"/>
            <w:gridSpan w:val="2"/>
            <w:vAlign w:val="bottom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4B7561" w:rsidTr="004B7561">
        <w:tc>
          <w:tcPr>
            <w:tcW w:w="6345" w:type="dxa"/>
            <w:vAlign w:val="bottom"/>
          </w:tcPr>
          <w:p w:rsidR="004B7561" w:rsidRPr="004B7561" w:rsidRDefault="004B7561" w:rsidP="004B75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1">
              <w:rPr>
                <w:rFonts w:ascii="Times New Roman" w:hAnsi="Times New Roman"/>
                <w:sz w:val="28"/>
                <w:szCs w:val="28"/>
              </w:rPr>
              <w:t>Тольяттинский государственный университет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79,26</w:t>
            </w:r>
          </w:p>
        </w:tc>
      </w:tr>
      <w:tr w:rsidR="004B7561" w:rsidTr="004B7561">
        <w:tc>
          <w:tcPr>
            <w:tcW w:w="6345" w:type="dxa"/>
            <w:vAlign w:val="bottom"/>
          </w:tcPr>
          <w:p w:rsidR="004B7561" w:rsidRPr="004B7561" w:rsidRDefault="004B7561" w:rsidP="004B75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1">
              <w:rPr>
                <w:rFonts w:ascii="Times New Roman" w:hAnsi="Times New Roman"/>
                <w:sz w:val="28"/>
                <w:szCs w:val="28"/>
              </w:rPr>
              <w:lastRenderedPageBreak/>
              <w:t>Алтайский государственный университет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78,90</w:t>
            </w:r>
          </w:p>
        </w:tc>
      </w:tr>
      <w:tr w:rsidR="004B7561" w:rsidTr="004B7561">
        <w:tc>
          <w:tcPr>
            <w:tcW w:w="6345" w:type="dxa"/>
            <w:vAlign w:val="bottom"/>
          </w:tcPr>
          <w:p w:rsidR="004B7561" w:rsidRPr="004B7561" w:rsidRDefault="004B7561" w:rsidP="004B75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1">
              <w:rPr>
                <w:rFonts w:ascii="Times New Roman" w:hAnsi="Times New Roman"/>
                <w:sz w:val="28"/>
                <w:szCs w:val="28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75,65</w:t>
            </w:r>
          </w:p>
        </w:tc>
      </w:tr>
      <w:tr w:rsidR="004B7561" w:rsidTr="004B7561">
        <w:tc>
          <w:tcPr>
            <w:tcW w:w="6345" w:type="dxa"/>
            <w:vAlign w:val="bottom"/>
          </w:tcPr>
          <w:p w:rsidR="004B7561" w:rsidRPr="004B7561" w:rsidRDefault="004B7561" w:rsidP="004B75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1">
              <w:rPr>
                <w:rFonts w:ascii="Times New Roman" w:hAnsi="Times New Roman"/>
                <w:sz w:val="28"/>
                <w:szCs w:val="28"/>
              </w:rPr>
              <w:t>Костромской государственный университет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75,27</w:t>
            </w:r>
          </w:p>
        </w:tc>
      </w:tr>
      <w:tr w:rsidR="004B7561" w:rsidTr="004B7561">
        <w:tc>
          <w:tcPr>
            <w:tcW w:w="6345" w:type="dxa"/>
            <w:vAlign w:val="bottom"/>
          </w:tcPr>
          <w:p w:rsidR="004B7561" w:rsidRPr="004B7561" w:rsidRDefault="004B7561" w:rsidP="004B75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1">
              <w:rPr>
                <w:rFonts w:ascii="Times New Roman" w:hAnsi="Times New Roman"/>
                <w:sz w:val="28"/>
                <w:szCs w:val="28"/>
              </w:rPr>
              <w:t>Донской государственный технический университет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74,17</w:t>
            </w:r>
          </w:p>
        </w:tc>
      </w:tr>
      <w:tr w:rsidR="004B7561" w:rsidTr="004B7561">
        <w:tc>
          <w:tcPr>
            <w:tcW w:w="6345" w:type="dxa"/>
            <w:vAlign w:val="bottom"/>
          </w:tcPr>
          <w:p w:rsidR="004B7561" w:rsidRPr="004B7561" w:rsidRDefault="004B7561" w:rsidP="004B75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1">
              <w:rPr>
                <w:rFonts w:ascii="Times New Roman" w:hAnsi="Times New Roman"/>
                <w:sz w:val="28"/>
                <w:szCs w:val="28"/>
              </w:rPr>
              <w:t>Ульяновский государственный университет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73,60</w:t>
            </w:r>
          </w:p>
        </w:tc>
      </w:tr>
      <w:tr w:rsidR="004B7561" w:rsidTr="00740A93">
        <w:tc>
          <w:tcPr>
            <w:tcW w:w="9571" w:type="dxa"/>
            <w:gridSpan w:val="2"/>
            <w:vAlign w:val="bottom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B7561" w:rsidTr="004B7561">
        <w:tc>
          <w:tcPr>
            <w:tcW w:w="6345" w:type="dxa"/>
            <w:vAlign w:val="bottom"/>
          </w:tcPr>
          <w:p w:rsidR="004B7561" w:rsidRPr="004B7561" w:rsidRDefault="004B7561" w:rsidP="004B75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1">
              <w:rPr>
                <w:rFonts w:ascii="Times New Roman" w:hAnsi="Times New Roman"/>
                <w:sz w:val="28"/>
                <w:szCs w:val="28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69,62</w:t>
            </w:r>
          </w:p>
        </w:tc>
      </w:tr>
      <w:tr w:rsidR="004B7561" w:rsidTr="004B7561">
        <w:tc>
          <w:tcPr>
            <w:tcW w:w="6345" w:type="dxa"/>
            <w:vAlign w:val="bottom"/>
          </w:tcPr>
          <w:p w:rsidR="004B7561" w:rsidRPr="004B7561" w:rsidRDefault="004B7561" w:rsidP="004B75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1">
              <w:rPr>
                <w:rFonts w:ascii="Times New Roman" w:hAnsi="Times New Roman"/>
                <w:sz w:val="28"/>
                <w:szCs w:val="28"/>
              </w:rPr>
              <w:t>Сыктывкарский государственный университет имени Питирима Сорокина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69,15</w:t>
            </w:r>
          </w:p>
        </w:tc>
      </w:tr>
      <w:tr w:rsidR="004B7561" w:rsidTr="004B7561">
        <w:tc>
          <w:tcPr>
            <w:tcW w:w="6345" w:type="dxa"/>
            <w:vAlign w:val="bottom"/>
          </w:tcPr>
          <w:p w:rsidR="004B7561" w:rsidRPr="004B7561" w:rsidRDefault="004B7561" w:rsidP="004B75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1">
              <w:rPr>
                <w:rFonts w:ascii="Times New Roman" w:hAnsi="Times New Roman"/>
                <w:sz w:val="28"/>
                <w:szCs w:val="28"/>
              </w:rPr>
              <w:t>Орловский государственный университет имени И.С. Тургенева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64,17</w:t>
            </w:r>
          </w:p>
        </w:tc>
      </w:tr>
      <w:tr w:rsidR="004B7561" w:rsidTr="004B7561">
        <w:tc>
          <w:tcPr>
            <w:tcW w:w="6345" w:type="dxa"/>
            <w:vAlign w:val="bottom"/>
          </w:tcPr>
          <w:p w:rsidR="004B7561" w:rsidRPr="004B7561" w:rsidRDefault="004B7561" w:rsidP="004B75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1">
              <w:rPr>
                <w:rFonts w:ascii="Times New Roman" w:hAnsi="Times New Roman"/>
                <w:sz w:val="28"/>
                <w:szCs w:val="28"/>
              </w:rPr>
              <w:t>Петрозаводский государственный университет</w:t>
            </w:r>
          </w:p>
        </w:tc>
        <w:tc>
          <w:tcPr>
            <w:tcW w:w="3226" w:type="dxa"/>
            <w:vAlign w:val="center"/>
          </w:tcPr>
          <w:p w:rsidR="004B7561" w:rsidRPr="004B7561" w:rsidRDefault="004B7561" w:rsidP="004B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61">
              <w:rPr>
                <w:rFonts w:ascii="Times New Roman" w:hAnsi="Times New Roman" w:cs="Times New Roman"/>
                <w:sz w:val="28"/>
                <w:szCs w:val="28"/>
              </w:rPr>
              <w:t>60,14</w:t>
            </w:r>
          </w:p>
        </w:tc>
      </w:tr>
    </w:tbl>
    <w:p w:rsidR="004B7561" w:rsidRDefault="004B7561" w:rsidP="004B75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561" w:rsidRDefault="004B7561" w:rsidP="004B75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условия конкурсного отбора по финансированию, установленные в извещении, и решение экспертной комиссии по распределению победителей на группы в соответствии с количеством баллов, присвоенных заявкам участников, договора заключаются со следующими объемами финансирования: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B7561" w:rsidTr="00740A93">
        <w:tc>
          <w:tcPr>
            <w:tcW w:w="2943" w:type="dxa"/>
          </w:tcPr>
          <w:p w:rsidR="004B7561" w:rsidRDefault="004B7561" w:rsidP="00740A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28" w:type="dxa"/>
          </w:tcPr>
          <w:p w:rsidR="004B7561" w:rsidRDefault="004B7561" w:rsidP="00740A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на сумму 3 000 000 (три миллиона) рублей коп. </w:t>
            </w:r>
          </w:p>
        </w:tc>
      </w:tr>
      <w:tr w:rsidR="004B7561" w:rsidTr="00740A93">
        <w:tc>
          <w:tcPr>
            <w:tcW w:w="2943" w:type="dxa"/>
          </w:tcPr>
          <w:p w:rsidR="004B7561" w:rsidRDefault="004B7561" w:rsidP="00740A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6628" w:type="dxa"/>
          </w:tcPr>
          <w:p w:rsidR="004B7561" w:rsidRDefault="004B7561" w:rsidP="004B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на сумму 2 500 000 (два миллиона пятьсот тысяч) рублей 00 коп.</w:t>
            </w:r>
          </w:p>
        </w:tc>
      </w:tr>
      <w:tr w:rsidR="004B7561" w:rsidTr="00740A93">
        <w:tc>
          <w:tcPr>
            <w:tcW w:w="2943" w:type="dxa"/>
          </w:tcPr>
          <w:p w:rsidR="004B7561" w:rsidRDefault="004B7561" w:rsidP="00740A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628" w:type="dxa"/>
          </w:tcPr>
          <w:p w:rsidR="004B7561" w:rsidRDefault="004B7561" w:rsidP="004B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на сумму 1 500 000 (один миллион пятьсот тысяч) рублей </w:t>
            </w:r>
          </w:p>
        </w:tc>
      </w:tr>
    </w:tbl>
    <w:p w:rsidR="004B7561" w:rsidRDefault="004B7561" w:rsidP="004B75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B6C" w:rsidRPr="008B6B6C" w:rsidRDefault="00604AD1" w:rsidP="008B6B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пунктом 3 приказа НФПК от 5 октября 2017 г. №9-Р</w:t>
      </w:r>
      <w:r w:rsidRPr="008B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8B6B6C" w:rsidRPr="008B6B6C">
        <w:rPr>
          <w:rFonts w:ascii="Times New Roman" w:hAnsi="Times New Roman"/>
          <w:sz w:val="28"/>
          <w:szCs w:val="28"/>
        </w:rPr>
        <w:t xml:space="preserve">астоящий протокол является основанием для заключения </w:t>
      </w:r>
      <w:r w:rsidR="008B6B6C">
        <w:rPr>
          <w:rFonts w:ascii="Times New Roman" w:hAnsi="Times New Roman"/>
          <w:sz w:val="28"/>
          <w:szCs w:val="28"/>
        </w:rPr>
        <w:t xml:space="preserve">договоров с </w:t>
      </w:r>
      <w:r w:rsidR="008B6B6C" w:rsidRPr="008B6B6C">
        <w:rPr>
          <w:rFonts w:ascii="Times New Roman" w:hAnsi="Times New Roman"/>
          <w:sz w:val="28"/>
          <w:szCs w:val="28"/>
        </w:rPr>
        <w:t>победител</w:t>
      </w:r>
      <w:r w:rsidR="008B6B6C">
        <w:rPr>
          <w:rFonts w:ascii="Times New Roman" w:hAnsi="Times New Roman"/>
          <w:sz w:val="28"/>
          <w:szCs w:val="28"/>
        </w:rPr>
        <w:t>ями</w:t>
      </w:r>
      <w:r w:rsidR="008B6B6C" w:rsidRPr="008B6B6C">
        <w:rPr>
          <w:rFonts w:ascii="Times New Roman" w:hAnsi="Times New Roman"/>
          <w:sz w:val="28"/>
          <w:szCs w:val="28"/>
        </w:rPr>
        <w:t xml:space="preserve"> </w:t>
      </w:r>
      <w:r w:rsidR="008B6B6C">
        <w:rPr>
          <w:rFonts w:ascii="Times New Roman" w:hAnsi="Times New Roman"/>
          <w:sz w:val="28"/>
          <w:szCs w:val="28"/>
        </w:rPr>
        <w:t>к</w:t>
      </w:r>
      <w:r w:rsidR="008B6B6C" w:rsidRPr="008B6B6C">
        <w:rPr>
          <w:rFonts w:ascii="Times New Roman" w:hAnsi="Times New Roman"/>
          <w:sz w:val="28"/>
          <w:szCs w:val="28"/>
        </w:rPr>
        <w:t>онкурс</w:t>
      </w:r>
      <w:r w:rsidR="008B6B6C">
        <w:rPr>
          <w:rFonts w:ascii="Times New Roman" w:hAnsi="Times New Roman"/>
          <w:sz w:val="28"/>
          <w:szCs w:val="28"/>
        </w:rPr>
        <w:t>ного отбора. Договора будут заключены не позднее 1 ноября 2017 г</w:t>
      </w:r>
      <w:r w:rsidR="008B6B6C" w:rsidRPr="008B6B6C">
        <w:rPr>
          <w:rFonts w:ascii="Times New Roman" w:hAnsi="Times New Roman"/>
          <w:sz w:val="28"/>
          <w:szCs w:val="28"/>
        </w:rPr>
        <w:t>.</w:t>
      </w:r>
    </w:p>
    <w:p w:rsidR="004B7561" w:rsidRDefault="004B7561" w:rsidP="004B75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561" w:rsidRPr="004B7561" w:rsidRDefault="004B7561" w:rsidP="004B7561">
      <w:pPr>
        <w:jc w:val="center"/>
        <w:rPr>
          <w:rFonts w:ascii="Times New Roman" w:hAnsi="Times New Roman"/>
          <w:sz w:val="28"/>
          <w:szCs w:val="28"/>
        </w:rPr>
      </w:pPr>
    </w:p>
    <w:sectPr w:rsidR="004B7561" w:rsidRPr="004B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497"/>
    <w:multiLevelType w:val="hybridMultilevel"/>
    <w:tmpl w:val="F246F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553C6"/>
    <w:multiLevelType w:val="hybridMultilevel"/>
    <w:tmpl w:val="4BC8C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071E7"/>
    <w:multiLevelType w:val="hybridMultilevel"/>
    <w:tmpl w:val="F246F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61"/>
    <w:rsid w:val="000A614D"/>
    <w:rsid w:val="000E1456"/>
    <w:rsid w:val="003C48DE"/>
    <w:rsid w:val="004B7561"/>
    <w:rsid w:val="00604AD1"/>
    <w:rsid w:val="008B6B6C"/>
    <w:rsid w:val="00957344"/>
    <w:rsid w:val="009C67A1"/>
    <w:rsid w:val="00C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diyachkova</cp:lastModifiedBy>
  <cp:revision>2</cp:revision>
  <cp:lastPrinted>2017-10-17T12:29:00Z</cp:lastPrinted>
  <dcterms:created xsi:type="dcterms:W3CDTF">2017-10-17T14:15:00Z</dcterms:created>
  <dcterms:modified xsi:type="dcterms:W3CDTF">2017-10-17T14:15:00Z</dcterms:modified>
</cp:coreProperties>
</file>